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0698" w14:textId="77777777" w:rsidR="0027355E" w:rsidRPr="0027355E" w:rsidRDefault="0027355E" w:rsidP="0027355E">
      <w:pPr>
        <w:rPr>
          <w:b/>
          <w:bCs/>
        </w:rPr>
      </w:pPr>
      <w:r w:rsidRPr="0027355E">
        <w:rPr>
          <w:b/>
          <w:bCs/>
        </w:rPr>
        <w:t>Ekonomisk översikt</w:t>
      </w:r>
    </w:p>
    <w:p w14:paraId="1F30C9E4" w14:textId="77777777" w:rsidR="0027355E" w:rsidRPr="0027355E" w:rsidRDefault="0027355E" w:rsidP="0027355E">
      <w:r w:rsidRPr="0027355E">
        <w:t xml:space="preserve">Bostadsrättsföreningens ekonomi har analyserats utifrån nyckeltal för perioden </w:t>
      </w:r>
      <w:r w:rsidRPr="0027355E">
        <w:rPr>
          <w:b/>
          <w:bCs/>
        </w:rPr>
        <w:t>2019–2025</w:t>
      </w:r>
      <w:r w:rsidRPr="0027355E">
        <w:t>, vilket ger en god bild av både nuläge och långsiktig utveckling.</w:t>
      </w:r>
    </w:p>
    <w:p w14:paraId="2DBDED0C" w14:textId="77777777" w:rsidR="0027355E" w:rsidRPr="0027355E" w:rsidRDefault="0027355E" w:rsidP="0027355E">
      <w:pPr>
        <w:rPr>
          <w:b/>
          <w:bCs/>
        </w:rPr>
      </w:pPr>
      <w:r w:rsidRPr="0027355E">
        <w:rPr>
          <w:b/>
          <w:bCs/>
        </w:rPr>
        <w:t>Övergripande läge</w:t>
      </w:r>
    </w:p>
    <w:p w14:paraId="6A3BA831" w14:textId="77777777" w:rsidR="0027355E" w:rsidRPr="0027355E" w:rsidRDefault="0027355E" w:rsidP="0027355E">
      <w:r w:rsidRPr="0027355E">
        <w:t>Föreningen är relativt nybildad och förvaltar en nybyggd fastighet. Ekonomin präglas därför av en initialt högre skuldsättning, vilket är normalt i nyproduktion, samtidigt som underhållsbehovet är lågt under de första åren. Under perioden 2019–2025 har föreningen successivt stärkt sin ekonomiska motståndskraft.</w:t>
      </w:r>
    </w:p>
    <w:p w14:paraId="0DB060E8" w14:textId="77777777" w:rsidR="0027355E" w:rsidRPr="0027355E" w:rsidRDefault="0027355E" w:rsidP="0027355E">
      <w:pPr>
        <w:rPr>
          <w:b/>
          <w:bCs/>
        </w:rPr>
      </w:pPr>
      <w:r w:rsidRPr="0027355E">
        <w:rPr>
          <w:b/>
          <w:bCs/>
        </w:rPr>
        <w:t>Skuldsättning och ränterisk</w:t>
      </w:r>
    </w:p>
    <w:p w14:paraId="4282567C" w14:textId="77777777" w:rsidR="0027355E" w:rsidRPr="0027355E" w:rsidRDefault="0027355E" w:rsidP="0027355E">
      <w:r w:rsidRPr="0027355E">
        <w:t xml:space="preserve">Skuldsättningen per kvadratmeter har minskat tydligt från 2019 till 2024 och därefter stabiliserats kring </w:t>
      </w:r>
      <w:r w:rsidRPr="0027355E">
        <w:rPr>
          <w:b/>
          <w:bCs/>
        </w:rPr>
        <w:t>cirka 12</w:t>
      </w:r>
      <w:r w:rsidRPr="0027355E">
        <w:rPr>
          <w:rFonts w:ascii="Arial" w:hAnsi="Arial" w:cs="Arial"/>
          <w:b/>
          <w:bCs/>
        </w:rPr>
        <w:t> </w:t>
      </w:r>
      <w:r w:rsidRPr="0027355E">
        <w:rPr>
          <w:b/>
          <w:bCs/>
        </w:rPr>
        <w:t>000 kr/kvm</w:t>
      </w:r>
      <w:r w:rsidRPr="0027355E">
        <w:t xml:space="preserve"> år 2025. Detta är en nivå som är vanlig och hanterbar för en yngre bostadsrättsförening.</w:t>
      </w:r>
    </w:p>
    <w:p w14:paraId="1D3CA159" w14:textId="77777777" w:rsidR="0027355E" w:rsidRPr="0027355E" w:rsidRDefault="0027355E" w:rsidP="0027355E">
      <w:r w:rsidRPr="0027355E">
        <w:t xml:space="preserve">Räntekänsligheten har förbättrats markant under perioden – från en hög nivå 2019 till </w:t>
      </w:r>
      <w:r w:rsidRPr="0027355E">
        <w:rPr>
          <w:b/>
          <w:bCs/>
        </w:rPr>
        <w:t>14,7 år 2025</w:t>
      </w:r>
      <w:r w:rsidRPr="0027355E">
        <w:t>. Det innebär att föreningens ekonomi i dag är betydligt mindre sårbar för ränteförändringar än tidigare, trots att perioden sammanfallit med kraftiga räntehöjningar i samhället.</w:t>
      </w:r>
    </w:p>
    <w:p w14:paraId="3A06A60E" w14:textId="77777777" w:rsidR="0027355E" w:rsidRPr="0027355E" w:rsidRDefault="0027355E" w:rsidP="0027355E">
      <w:pPr>
        <w:rPr>
          <w:b/>
          <w:bCs/>
        </w:rPr>
      </w:pPr>
      <w:r w:rsidRPr="0027355E">
        <w:rPr>
          <w:b/>
          <w:bCs/>
        </w:rPr>
        <w:t>Avgifter</w:t>
      </w:r>
    </w:p>
    <w:p w14:paraId="2C1D2EF2" w14:textId="77777777" w:rsidR="0027355E" w:rsidRPr="0027355E" w:rsidRDefault="0027355E" w:rsidP="0027355E">
      <w:r w:rsidRPr="0027355E">
        <w:t xml:space="preserve">Årsavgiften var oförändrad under flera år (2019–2022) och har därefter justerats stegvis under 2023–2025 till </w:t>
      </w:r>
      <w:r w:rsidRPr="0027355E">
        <w:rPr>
          <w:b/>
          <w:bCs/>
        </w:rPr>
        <w:t>854 kr/kvm</w:t>
      </w:r>
      <w:r w:rsidRPr="0027355E">
        <w:t>. Höjningarna har gjorts successivt och kontrollerat, i syfte att möta ökade kostnader till följd av inflation och ränteläge. Avgiftsnivån bedöms i dag som realistisk och kostnadsbärande.</w:t>
      </w:r>
    </w:p>
    <w:p w14:paraId="769EB4CE" w14:textId="77777777" w:rsidR="0027355E" w:rsidRPr="0027355E" w:rsidRDefault="0027355E" w:rsidP="0027355E">
      <w:pPr>
        <w:rPr>
          <w:b/>
          <w:bCs/>
        </w:rPr>
      </w:pPr>
      <w:r w:rsidRPr="0027355E">
        <w:rPr>
          <w:b/>
          <w:bCs/>
        </w:rPr>
        <w:t>Sparande</w:t>
      </w:r>
    </w:p>
    <w:p w14:paraId="418B3A32" w14:textId="77777777" w:rsidR="0027355E" w:rsidRPr="0027355E" w:rsidRDefault="0027355E" w:rsidP="0027355E">
      <w:r w:rsidRPr="0027355E">
        <w:t>Föreningen uppvisade relativt högt sparande under åren 2019–2021. Sparandet försämrades tillfälligt 2024, men återgick till positiv nivå under 2025. Sammantaget visar detta att föreningen har förmåga att skapa ekonomiskt utrymme över tid, även om enskilda år kan påverkas av extraordinära kostnadsökningar.</w:t>
      </w:r>
    </w:p>
    <w:p w14:paraId="154477A5" w14:textId="77777777" w:rsidR="0027355E" w:rsidRPr="0027355E" w:rsidRDefault="0027355E" w:rsidP="0027355E">
      <w:pPr>
        <w:rPr>
          <w:b/>
          <w:bCs/>
        </w:rPr>
      </w:pPr>
      <w:r w:rsidRPr="0027355E">
        <w:rPr>
          <w:b/>
          <w:bCs/>
        </w:rPr>
        <w:t>Intäktsstruktur</w:t>
      </w:r>
    </w:p>
    <w:p w14:paraId="7EAEA27F" w14:textId="77777777" w:rsidR="0027355E" w:rsidRPr="0027355E" w:rsidRDefault="0027355E" w:rsidP="0027355E">
      <w:r w:rsidRPr="0027355E">
        <w:t xml:space="preserve">För de år där uppgifter finns (2022–2025) utgör årsavgifterna cirka </w:t>
      </w:r>
      <w:r w:rsidRPr="0027355E">
        <w:rPr>
          <w:b/>
          <w:bCs/>
        </w:rPr>
        <w:t>78–79 % av rörelseintäkterna</w:t>
      </w:r>
      <w:r w:rsidRPr="0027355E">
        <w:t>, vilket innebär en stabil och transparent intäktsstruktur kombinerad med vissa kompletterande intäkter.</w:t>
      </w:r>
    </w:p>
    <w:p w14:paraId="0C9CCCC3" w14:textId="77777777" w:rsidR="0027355E" w:rsidRPr="0027355E" w:rsidRDefault="0027355E" w:rsidP="0027355E">
      <w:pPr>
        <w:rPr>
          <w:b/>
          <w:bCs/>
        </w:rPr>
      </w:pPr>
      <w:r w:rsidRPr="0027355E">
        <w:rPr>
          <w:b/>
          <w:bCs/>
        </w:rPr>
        <w:t>Samlad bedömning</w:t>
      </w:r>
    </w:p>
    <w:p w14:paraId="76681A98" w14:textId="77777777" w:rsidR="0027355E" w:rsidRPr="0027355E" w:rsidRDefault="0027355E" w:rsidP="0027355E">
      <w:r w:rsidRPr="0027355E">
        <w:t xml:space="preserve">Sammantaget visar nyckeltalen att föreningen har en </w:t>
      </w:r>
      <w:r w:rsidRPr="0027355E">
        <w:rPr>
          <w:b/>
          <w:bCs/>
        </w:rPr>
        <w:t>stabil ekonomi med tydligt förbättrad riskprofil över tid</w:t>
      </w:r>
      <w:r w:rsidRPr="0027355E">
        <w:t xml:space="preserve">. Skuldsättning och ränterisk har minskat, avgifterna har </w:t>
      </w:r>
      <w:r w:rsidRPr="0027355E">
        <w:lastRenderedPageBreak/>
        <w:t>anpassats i takt med kostnadsutvecklingen och ekonomin bedöms vara väl anpassad till fastighetens ålder och föreningens framtida åtaganden.</w:t>
      </w:r>
    </w:p>
    <w:p w14:paraId="5BC488F1" w14:textId="77777777" w:rsidR="0027355E" w:rsidRPr="0027355E" w:rsidRDefault="0027355E" w:rsidP="0027355E"/>
    <w:p w14:paraId="297A9E67" w14:textId="77777777" w:rsidR="0027355E" w:rsidRPr="0027355E" w:rsidRDefault="0027355E" w:rsidP="0027355E">
      <w:pPr>
        <w:rPr>
          <w:b/>
          <w:bCs/>
        </w:rPr>
      </w:pPr>
      <w:r w:rsidRPr="0027355E">
        <w:rPr>
          <w:b/>
          <w:bCs/>
        </w:rPr>
        <w:t>Ekonomisk översikt – kortfattat</w:t>
      </w:r>
    </w:p>
    <w:p w14:paraId="601B8DC3" w14:textId="77777777" w:rsidR="0027355E" w:rsidRPr="0027355E" w:rsidRDefault="0027355E" w:rsidP="0027355E">
      <w:pPr>
        <w:numPr>
          <w:ilvl w:val="0"/>
          <w:numId w:val="2"/>
        </w:numPr>
      </w:pPr>
      <w:r w:rsidRPr="0027355E">
        <w:rPr>
          <w:b/>
          <w:bCs/>
        </w:rPr>
        <w:t>Stabil skuldsättning:</w:t>
      </w:r>
      <w:r w:rsidRPr="0027355E">
        <w:t xml:space="preserve"> ca </w:t>
      </w:r>
      <w:r w:rsidRPr="0027355E">
        <w:rPr>
          <w:b/>
          <w:bCs/>
        </w:rPr>
        <w:t>12</w:t>
      </w:r>
      <w:r w:rsidRPr="0027355E">
        <w:rPr>
          <w:rFonts w:ascii="Arial" w:hAnsi="Arial" w:cs="Arial"/>
          <w:b/>
          <w:bCs/>
        </w:rPr>
        <w:t> </w:t>
      </w:r>
      <w:r w:rsidRPr="0027355E">
        <w:rPr>
          <w:b/>
          <w:bCs/>
        </w:rPr>
        <w:t>000 kr/kvm</w:t>
      </w:r>
      <w:r w:rsidRPr="0027355E">
        <w:t xml:space="preserve"> (2025), vilket är en normal och hanterbar nivå för en relativt ny bostadsrättsförening.</w:t>
      </w:r>
    </w:p>
    <w:p w14:paraId="1C1A6276" w14:textId="77777777" w:rsidR="0027355E" w:rsidRPr="0027355E" w:rsidRDefault="0027355E" w:rsidP="0027355E">
      <w:pPr>
        <w:numPr>
          <w:ilvl w:val="0"/>
          <w:numId w:val="2"/>
        </w:numPr>
      </w:pPr>
      <w:r w:rsidRPr="0027355E">
        <w:rPr>
          <w:b/>
          <w:bCs/>
        </w:rPr>
        <w:t>Tydligt minskad ränterisk:</w:t>
      </w:r>
      <w:r w:rsidRPr="0027355E">
        <w:t xml:space="preserve"> Räntekänsligheten har sjunkit kraftigt från </w:t>
      </w:r>
      <w:r w:rsidRPr="0027355E">
        <w:rPr>
          <w:b/>
          <w:bCs/>
        </w:rPr>
        <w:t>32,8 (2019) till 14,7 (2025)</w:t>
      </w:r>
      <w:r w:rsidRPr="0027355E">
        <w:t>, vilket stärker föreningens motståndskraft mot ränteförändringar.</w:t>
      </w:r>
    </w:p>
    <w:p w14:paraId="3B3FFC91" w14:textId="77777777" w:rsidR="0027355E" w:rsidRPr="0027355E" w:rsidRDefault="0027355E" w:rsidP="0027355E">
      <w:pPr>
        <w:numPr>
          <w:ilvl w:val="0"/>
          <w:numId w:val="2"/>
        </w:numPr>
      </w:pPr>
      <w:r w:rsidRPr="0027355E">
        <w:rPr>
          <w:b/>
          <w:bCs/>
        </w:rPr>
        <w:t>Hållbar avgiftsnivå:</w:t>
      </w:r>
      <w:r w:rsidRPr="0027355E">
        <w:t xml:space="preserve"> Årsavgiften har justerats stegvis till </w:t>
      </w:r>
      <w:r w:rsidRPr="0027355E">
        <w:rPr>
          <w:b/>
          <w:bCs/>
        </w:rPr>
        <w:t>854 kr/kvm</w:t>
      </w:r>
      <w:r w:rsidRPr="0027355E">
        <w:t>, i takt med inflation och räntehöjningar – ingen uppskjuten avgiftsproblematik.</w:t>
      </w:r>
    </w:p>
    <w:p w14:paraId="20C92D41" w14:textId="77777777" w:rsidR="0027355E" w:rsidRPr="0027355E" w:rsidRDefault="0027355E" w:rsidP="0027355E">
      <w:pPr>
        <w:numPr>
          <w:ilvl w:val="0"/>
          <w:numId w:val="2"/>
        </w:numPr>
      </w:pPr>
      <w:r w:rsidRPr="0027355E">
        <w:rPr>
          <w:b/>
          <w:bCs/>
        </w:rPr>
        <w:t>Positiv trend i sparandet:</w:t>
      </w:r>
      <w:r w:rsidRPr="0027355E">
        <w:t xml:space="preserve"> Efter ett tillfälligt svagare år 2024 är sparandet åter på </w:t>
      </w:r>
      <w:r w:rsidRPr="0027355E">
        <w:rPr>
          <w:b/>
          <w:bCs/>
        </w:rPr>
        <w:t>positiv nivå 2025</w:t>
      </w:r>
      <w:r w:rsidRPr="0027355E">
        <w:t>.</w:t>
      </w:r>
    </w:p>
    <w:p w14:paraId="60D9E3A3" w14:textId="77777777" w:rsidR="0027355E" w:rsidRPr="0027355E" w:rsidRDefault="0027355E" w:rsidP="0027355E">
      <w:pPr>
        <w:numPr>
          <w:ilvl w:val="0"/>
          <w:numId w:val="2"/>
        </w:numPr>
      </w:pPr>
      <w:r w:rsidRPr="0027355E">
        <w:rPr>
          <w:b/>
          <w:bCs/>
        </w:rPr>
        <w:t>Samlad bedömning:</w:t>
      </w:r>
      <w:r w:rsidRPr="0027355E">
        <w:t xml:space="preserve"> Föreningen uppvisar en </w:t>
      </w:r>
      <w:r w:rsidRPr="0027355E">
        <w:rPr>
          <w:b/>
          <w:bCs/>
        </w:rPr>
        <w:t>stabil ekonomi med förbättrad riskprofil över tid</w:t>
      </w:r>
      <w:r w:rsidRPr="0027355E">
        <w:t>, väl anpassad till fastighetens ålder.</w:t>
      </w:r>
    </w:p>
    <w:p w14:paraId="178025B1" w14:textId="77777777" w:rsidR="0027355E" w:rsidRDefault="0027355E"/>
    <w:sectPr w:rsidR="00273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B7EE0"/>
    <w:multiLevelType w:val="multilevel"/>
    <w:tmpl w:val="4DD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C47A3"/>
    <w:multiLevelType w:val="multilevel"/>
    <w:tmpl w:val="0E54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867582">
    <w:abstractNumId w:val="1"/>
  </w:num>
  <w:num w:numId="2" w16cid:durableId="185495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5E"/>
    <w:rsid w:val="0027355E"/>
    <w:rsid w:val="00426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2383"/>
  <w15:chartTrackingRefBased/>
  <w15:docId w15:val="{8FD869BF-35F0-4874-AC0B-7957181C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73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3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355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355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7355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7355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7355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7355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7355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355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355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355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355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355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355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355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355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355E"/>
    <w:rPr>
      <w:rFonts w:eastAsiaTheme="majorEastAsia" w:cstheme="majorBidi"/>
      <w:color w:val="272727" w:themeColor="text1" w:themeTint="D8"/>
    </w:rPr>
  </w:style>
  <w:style w:type="paragraph" w:styleId="Rubrik">
    <w:name w:val="Title"/>
    <w:basedOn w:val="Normal"/>
    <w:next w:val="Normal"/>
    <w:link w:val="RubrikChar"/>
    <w:uiPriority w:val="10"/>
    <w:qFormat/>
    <w:rsid w:val="00273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355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355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35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355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7355E"/>
    <w:rPr>
      <w:i/>
      <w:iCs/>
      <w:color w:val="404040" w:themeColor="text1" w:themeTint="BF"/>
    </w:rPr>
  </w:style>
  <w:style w:type="paragraph" w:styleId="Liststycke">
    <w:name w:val="List Paragraph"/>
    <w:basedOn w:val="Normal"/>
    <w:uiPriority w:val="34"/>
    <w:qFormat/>
    <w:rsid w:val="0027355E"/>
    <w:pPr>
      <w:ind w:left="720"/>
      <w:contextualSpacing/>
    </w:pPr>
  </w:style>
  <w:style w:type="character" w:styleId="Starkbetoning">
    <w:name w:val="Intense Emphasis"/>
    <w:basedOn w:val="Standardstycketeckensnitt"/>
    <w:uiPriority w:val="21"/>
    <w:qFormat/>
    <w:rsid w:val="0027355E"/>
    <w:rPr>
      <w:i/>
      <w:iCs/>
      <w:color w:val="0F4761" w:themeColor="accent1" w:themeShade="BF"/>
    </w:rPr>
  </w:style>
  <w:style w:type="paragraph" w:styleId="Starktcitat">
    <w:name w:val="Intense Quote"/>
    <w:basedOn w:val="Normal"/>
    <w:next w:val="Normal"/>
    <w:link w:val="StarktcitatChar"/>
    <w:uiPriority w:val="30"/>
    <w:qFormat/>
    <w:rsid w:val="00273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7355E"/>
    <w:rPr>
      <w:i/>
      <w:iCs/>
      <w:color w:val="0F4761" w:themeColor="accent1" w:themeShade="BF"/>
    </w:rPr>
  </w:style>
  <w:style w:type="character" w:styleId="Starkreferens">
    <w:name w:val="Intense Reference"/>
    <w:basedOn w:val="Standardstycketeckensnitt"/>
    <w:uiPriority w:val="32"/>
    <w:qFormat/>
    <w:rsid w:val="00273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2450</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Berndt Lippert</dc:creator>
  <cp:keywords/>
  <dc:description/>
  <cp:lastModifiedBy>Berndt Lippert</cp:lastModifiedBy>
  <cp:revision>1</cp:revision>
  <dcterms:created xsi:type="dcterms:W3CDTF">2026-05-06T14:57:00Z</dcterms:created>
  <dcterms:modified xsi:type="dcterms:W3CDTF">2026-05-06T15:01:00Z</dcterms:modified>
</cp:coreProperties>
</file>